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23A" w:rsidRPr="008E423A" w:rsidRDefault="008E423A" w:rsidP="008E423A">
      <w:pPr>
        <w:pStyle w:val="En-tte"/>
        <w:rPr>
          <w:b/>
          <w:u w:val="single"/>
        </w:rPr>
      </w:pPr>
      <w:r>
        <w:rPr>
          <w:b/>
          <w:noProof/>
          <w:sz w:val="24"/>
          <w:szCs w:val="24"/>
          <w:u w:val="single"/>
          <w:lang w:eastAsia="fr-FR"/>
        </w:rPr>
        <w:drawing>
          <wp:anchor distT="0" distB="0" distL="114300" distR="114300" simplePos="0" relativeHeight="251659264" behindDoc="0" locked="0" layoutInCell="1" allowOverlap="1">
            <wp:simplePos x="0" y="0"/>
            <wp:positionH relativeFrom="column">
              <wp:posOffset>2277842</wp:posOffset>
            </wp:positionH>
            <wp:positionV relativeFrom="paragraph">
              <wp:posOffset>-787058</wp:posOffset>
            </wp:positionV>
            <wp:extent cx="1153551" cy="63813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sait 2017 moyen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3551" cy="638135"/>
                    </a:xfrm>
                    <a:prstGeom prst="rect">
                      <a:avLst/>
                    </a:prstGeom>
                  </pic:spPr>
                </pic:pic>
              </a:graphicData>
            </a:graphic>
            <wp14:sizeRelH relativeFrom="page">
              <wp14:pctWidth>0</wp14:pctWidth>
            </wp14:sizeRelH>
            <wp14:sizeRelV relativeFrom="page">
              <wp14:pctHeight>0</wp14:pctHeight>
            </wp14:sizeRelV>
          </wp:anchor>
        </w:drawing>
      </w:r>
      <w:r w:rsidRPr="008E423A">
        <w:rPr>
          <w:b/>
          <w:sz w:val="24"/>
          <w:szCs w:val="24"/>
          <w:u w:val="single"/>
        </w:rPr>
        <w:t>PROCEDURE DE MISE EN PLAC</w:t>
      </w:r>
      <w:r w:rsidR="00690286">
        <w:rPr>
          <w:b/>
          <w:sz w:val="24"/>
          <w:szCs w:val="24"/>
          <w:u w:val="single"/>
        </w:rPr>
        <w:t>E DE PRESTATION / COLLABORATION</w:t>
      </w:r>
    </w:p>
    <w:p w:rsidR="008E423A" w:rsidRDefault="008E423A" w:rsidP="00016C2F">
      <w:pPr>
        <w:jc w:val="both"/>
      </w:pPr>
    </w:p>
    <w:p w:rsidR="00972BCE" w:rsidRDefault="00BD453F" w:rsidP="00016C2F">
      <w:pPr>
        <w:jc w:val="both"/>
      </w:pPr>
      <w:r>
        <w:t xml:space="preserve">Dans un souci d’optimisation du suivi des </w:t>
      </w:r>
      <w:r w:rsidR="00815457">
        <w:t xml:space="preserve">prestations et projets </w:t>
      </w:r>
      <w:r w:rsidR="00690286">
        <w:t xml:space="preserve">privés </w:t>
      </w:r>
      <w:r w:rsidR="00815457">
        <w:t>et pour améliorer leur durée de traitement</w:t>
      </w:r>
      <w:r w:rsidR="00DF522C">
        <w:t xml:space="preserve"> en limitant le nombre d’échanges</w:t>
      </w:r>
      <w:r w:rsidR="00815457">
        <w:t xml:space="preserve">, </w:t>
      </w:r>
      <w:r w:rsidR="0077451B">
        <w:t>le service des relations externes</w:t>
      </w:r>
      <w:r w:rsidR="00815457">
        <w:t xml:space="preserve"> propos</w:t>
      </w:r>
      <w:r w:rsidR="0077451B">
        <w:t>e</w:t>
      </w:r>
      <w:r w:rsidR="00815457">
        <w:t xml:space="preserve"> une procédure pour permettre à chacun de connaitre les démarches  nécessaires à la mise en place de ces </w:t>
      </w:r>
      <w:r w:rsidR="002E10A1">
        <w:t>projets et contrats.</w:t>
      </w:r>
    </w:p>
    <w:p w:rsidR="002E10A1" w:rsidRDefault="002E10A1" w:rsidP="00016C2F">
      <w:pPr>
        <w:pStyle w:val="Paragraphedeliste"/>
        <w:numPr>
          <w:ilvl w:val="0"/>
          <w:numId w:val="3"/>
        </w:numPr>
        <w:jc w:val="both"/>
      </w:pPr>
      <w:r>
        <w:t>Concernant la mise en place de prestations et montage de projets</w:t>
      </w:r>
      <w:r w:rsidR="00690286">
        <w:t xml:space="preserve"> privés</w:t>
      </w:r>
      <w:r>
        <w:t>, le service des relations externes souhaite se concentrer sur deux actions :</w:t>
      </w:r>
    </w:p>
    <w:p w:rsidR="002E10A1" w:rsidRDefault="002E10A1" w:rsidP="00016C2F">
      <w:pPr>
        <w:pStyle w:val="Paragraphedeliste"/>
        <w:numPr>
          <w:ilvl w:val="0"/>
          <w:numId w:val="4"/>
        </w:numPr>
        <w:jc w:val="both"/>
      </w:pPr>
      <w:r>
        <w:t>-la promotion des activités et savoir-faire du laboratoire</w:t>
      </w:r>
    </w:p>
    <w:p w:rsidR="002E10A1" w:rsidRDefault="002E10A1" w:rsidP="00016C2F">
      <w:pPr>
        <w:pStyle w:val="Paragraphedeliste"/>
        <w:numPr>
          <w:ilvl w:val="0"/>
          <w:numId w:val="4"/>
        </w:numPr>
        <w:jc w:val="both"/>
      </w:pPr>
      <w:r>
        <w:t>-l’aide au montage et la contractualisation des projets</w:t>
      </w:r>
      <w:r w:rsidR="00690286">
        <w:t xml:space="preserve"> privés</w:t>
      </w:r>
    </w:p>
    <w:p w:rsidR="00DF522C" w:rsidRDefault="00DF522C" w:rsidP="00016C2F">
      <w:pPr>
        <w:jc w:val="both"/>
      </w:pPr>
      <w:r>
        <w:t xml:space="preserve">Le Service des Relations Externes intervient donc en apporteur d’affaires pour vous présenter des opportunités de collaborations et/ou </w:t>
      </w:r>
      <w:r w:rsidR="00B25895">
        <w:t xml:space="preserve">en facilitateur pour </w:t>
      </w:r>
      <w:r>
        <w:t>prendre en charge le suivi administratif (proposition commerciale, aspects juridiques, financiers, etc.)</w:t>
      </w:r>
      <w:r w:rsidR="00690286">
        <w:t>. Le recrutement et l’accueil d’ingénieur ou de stagiaire reste à la charge du référent de la prestation.</w:t>
      </w:r>
    </w:p>
    <w:p w:rsidR="00DF522C" w:rsidRDefault="00DF522C" w:rsidP="00016C2F">
      <w:pPr>
        <w:jc w:val="both"/>
      </w:pPr>
      <w:r>
        <w:t xml:space="preserve">La validation de la faisabilité du projet, le choix </w:t>
      </w:r>
      <w:r w:rsidR="00B710C7">
        <w:t xml:space="preserve">du </w:t>
      </w:r>
      <w:r>
        <w:t>mode de réalisation et la responsabilité de la prestation appartiennent aux membres du laboratoire et de l’équipe technique.</w:t>
      </w:r>
    </w:p>
    <w:p w:rsidR="00DF522C" w:rsidRDefault="00DF522C" w:rsidP="00016C2F">
      <w:pPr>
        <w:jc w:val="both"/>
      </w:pPr>
      <w:r>
        <w:t xml:space="preserve">Cette </w:t>
      </w:r>
      <w:r w:rsidR="0077451B">
        <w:t>distinction</w:t>
      </w:r>
      <w:r>
        <w:t xml:space="preserve"> permet de faciliter les échanges suivant leur nature (technique ou administrative) entre </w:t>
      </w:r>
      <w:r w:rsidR="00690286">
        <w:t>l’ENSAIT et le demandeur</w:t>
      </w:r>
      <w:r>
        <w:t xml:space="preserve"> et de décharger </w:t>
      </w:r>
      <w:r w:rsidR="0077451B">
        <w:t xml:space="preserve">les opérateurs et référents </w:t>
      </w:r>
      <w:r>
        <w:t>des aspects de négociations.</w:t>
      </w:r>
    </w:p>
    <w:p w:rsidR="002E10A1" w:rsidRDefault="002E10A1" w:rsidP="00016C2F">
      <w:pPr>
        <w:pStyle w:val="Paragraphedeliste"/>
        <w:numPr>
          <w:ilvl w:val="0"/>
          <w:numId w:val="2"/>
        </w:numPr>
        <w:jc w:val="both"/>
      </w:pPr>
      <w:r>
        <w:t>Plusieurs modes de réalisation des projets peuvent être mis en place suivant vos disponibilités, le délai et les moyens disponibles.</w:t>
      </w:r>
    </w:p>
    <w:p w:rsidR="00783EC3" w:rsidRDefault="00783EC3" w:rsidP="00016C2F">
      <w:pPr>
        <w:jc w:val="both"/>
      </w:pPr>
      <w:r>
        <w:t>Par o</w:t>
      </w:r>
      <w:r w:rsidR="00016C2F">
        <w:t>rdre croissant d’i</w:t>
      </w:r>
      <w:r w:rsidR="00032AAF">
        <w:t>mplication</w:t>
      </w:r>
      <w:r w:rsidR="00245614">
        <w:t> :</w:t>
      </w:r>
    </w:p>
    <w:p w:rsidR="00783EC3" w:rsidRDefault="00783EC3" w:rsidP="00016C2F">
      <w:pPr>
        <w:pStyle w:val="Paragraphedeliste"/>
        <w:numPr>
          <w:ilvl w:val="0"/>
          <w:numId w:val="5"/>
        </w:numPr>
        <w:spacing w:line="240" w:lineRule="auto"/>
        <w:jc w:val="both"/>
      </w:pPr>
      <w:r>
        <w:t>Réalisation d’essai et/ou de prototypes par les équipes du laboratoire</w:t>
      </w:r>
    </w:p>
    <w:p w:rsidR="00783EC3" w:rsidRDefault="00016C2F" w:rsidP="00016C2F">
      <w:pPr>
        <w:pStyle w:val="Paragraphedeliste"/>
        <w:numPr>
          <w:ilvl w:val="0"/>
          <w:numId w:val="5"/>
        </w:numPr>
        <w:spacing w:line="240" w:lineRule="auto"/>
        <w:jc w:val="both"/>
      </w:pPr>
      <w:r>
        <w:t>Projet</w:t>
      </w:r>
      <w:r w:rsidR="00690286">
        <w:t xml:space="preserve"> SPRINT d’octobre à février</w:t>
      </w:r>
      <w:r w:rsidR="00783EC3">
        <w:t xml:space="preserve"> avec proposition à construire entre avril et juillet</w:t>
      </w:r>
      <w:r w:rsidR="00690286">
        <w:t>,</w:t>
      </w:r>
      <w:r w:rsidR="00386BB1">
        <w:t xml:space="preserve"> </w:t>
      </w:r>
      <w:r w:rsidR="00386BB1" w:rsidRPr="00245614">
        <w:rPr>
          <w:u w:val="single"/>
        </w:rPr>
        <w:t>à partir</w:t>
      </w:r>
      <w:r w:rsidR="00386BB1">
        <w:t xml:space="preserve"> de 3.000 €</w:t>
      </w:r>
      <w:r w:rsidR="00B119AC">
        <w:t xml:space="preserve"> </w:t>
      </w:r>
      <w:r w:rsidR="00690286" w:rsidRPr="00245614">
        <w:rPr>
          <w:b/>
          <w:i/>
        </w:rPr>
        <w:t>(</w:t>
      </w:r>
      <w:r w:rsidR="00B119AC" w:rsidRPr="00245614">
        <w:rPr>
          <w:b/>
          <w:i/>
        </w:rPr>
        <w:t>soit 1.000</w:t>
      </w:r>
      <w:r w:rsidR="00690286" w:rsidRPr="00245614">
        <w:rPr>
          <w:b/>
          <w:i/>
        </w:rPr>
        <w:t xml:space="preserve"> </w:t>
      </w:r>
      <w:r w:rsidR="00B119AC" w:rsidRPr="00245614">
        <w:rPr>
          <w:b/>
          <w:i/>
        </w:rPr>
        <w:t xml:space="preserve">€ après </w:t>
      </w:r>
      <w:r w:rsidR="00B710C7" w:rsidRPr="00245614">
        <w:rPr>
          <w:b/>
          <w:i/>
        </w:rPr>
        <w:t>CIR</w:t>
      </w:r>
      <w:r w:rsidR="00690286" w:rsidRPr="00245614">
        <w:rPr>
          <w:b/>
          <w:i/>
        </w:rPr>
        <w:t>)</w:t>
      </w:r>
    </w:p>
    <w:p w:rsidR="00783EC3" w:rsidRDefault="00783EC3" w:rsidP="00016C2F">
      <w:pPr>
        <w:pStyle w:val="Paragraphedeliste"/>
        <w:numPr>
          <w:ilvl w:val="0"/>
          <w:numId w:val="5"/>
        </w:numPr>
        <w:spacing w:line="240" w:lineRule="auto"/>
        <w:jc w:val="both"/>
      </w:pPr>
      <w:r>
        <w:t>stage de 2</w:t>
      </w:r>
      <w:r w:rsidRPr="0077451B">
        <w:rPr>
          <w:vertAlign w:val="superscript"/>
        </w:rPr>
        <w:t>ème</w:t>
      </w:r>
      <w:r>
        <w:t xml:space="preserve"> année </w:t>
      </w:r>
      <w:r w:rsidR="00B710C7">
        <w:t xml:space="preserve">contractualisé </w:t>
      </w:r>
      <w:r>
        <w:t>(</w:t>
      </w:r>
      <w:r w:rsidR="00386BB1">
        <w:t xml:space="preserve">pour juin à septembre avec </w:t>
      </w:r>
      <w:r>
        <w:t>proposition de sujet de préférence en décembre)</w:t>
      </w:r>
      <w:r w:rsidR="00386BB1">
        <w:t xml:space="preserve"> </w:t>
      </w:r>
      <w:r w:rsidR="00386BB1" w:rsidRPr="00245614">
        <w:rPr>
          <w:u w:val="single"/>
        </w:rPr>
        <w:t>à partir de</w:t>
      </w:r>
      <w:r w:rsidR="00386BB1">
        <w:t xml:space="preserve"> 8.000€</w:t>
      </w:r>
      <w:r w:rsidR="00B119AC">
        <w:t xml:space="preserve"> </w:t>
      </w:r>
      <w:r w:rsidR="00690286" w:rsidRPr="00245614">
        <w:rPr>
          <w:b/>
          <w:i/>
        </w:rPr>
        <w:t>(</w:t>
      </w:r>
      <w:r w:rsidR="00B119AC" w:rsidRPr="00245614">
        <w:rPr>
          <w:b/>
          <w:i/>
        </w:rPr>
        <w:t>soit 2.600</w:t>
      </w:r>
      <w:r w:rsidR="00690286" w:rsidRPr="00245614">
        <w:rPr>
          <w:b/>
          <w:i/>
        </w:rPr>
        <w:t xml:space="preserve"> </w:t>
      </w:r>
      <w:r w:rsidR="00B710C7" w:rsidRPr="00245614">
        <w:rPr>
          <w:b/>
          <w:i/>
        </w:rPr>
        <w:t>€ après</w:t>
      </w:r>
      <w:r w:rsidR="00B119AC" w:rsidRPr="00245614">
        <w:rPr>
          <w:b/>
          <w:i/>
        </w:rPr>
        <w:t xml:space="preserve"> CIR</w:t>
      </w:r>
      <w:r w:rsidR="00690286" w:rsidRPr="00245614">
        <w:rPr>
          <w:b/>
          <w:i/>
        </w:rPr>
        <w:t>)</w:t>
      </w:r>
    </w:p>
    <w:p w:rsidR="00783EC3" w:rsidRPr="00B710C7" w:rsidRDefault="00386BB1" w:rsidP="00016C2F">
      <w:pPr>
        <w:pStyle w:val="Paragraphedeliste"/>
        <w:numPr>
          <w:ilvl w:val="0"/>
          <w:numId w:val="5"/>
        </w:numPr>
        <w:spacing w:line="240" w:lineRule="auto"/>
        <w:jc w:val="both"/>
        <w:rPr>
          <w:i/>
        </w:rPr>
      </w:pPr>
      <w:r>
        <w:t xml:space="preserve">projet de PFE </w:t>
      </w:r>
      <w:r w:rsidR="00B710C7">
        <w:t xml:space="preserve">contractualisé </w:t>
      </w:r>
      <w:r>
        <w:t xml:space="preserve">(pour février à septembre avec proposition de sujet de préférence en octobre-novembre) </w:t>
      </w:r>
      <w:r w:rsidRPr="00245614">
        <w:rPr>
          <w:u w:val="single"/>
        </w:rPr>
        <w:t>à partir de</w:t>
      </w:r>
      <w:r>
        <w:t xml:space="preserve"> 15.000€</w:t>
      </w:r>
      <w:r w:rsidR="00B119AC">
        <w:t xml:space="preserve"> </w:t>
      </w:r>
      <w:r w:rsidR="00690286" w:rsidRPr="00245614">
        <w:rPr>
          <w:b/>
          <w:i/>
        </w:rPr>
        <w:t>(</w:t>
      </w:r>
      <w:r w:rsidR="00B710C7" w:rsidRPr="00245614">
        <w:rPr>
          <w:b/>
          <w:i/>
        </w:rPr>
        <w:t>soit 5.000€ après</w:t>
      </w:r>
      <w:r w:rsidR="00B119AC" w:rsidRPr="00245614">
        <w:rPr>
          <w:b/>
          <w:i/>
        </w:rPr>
        <w:t xml:space="preserve"> CIR</w:t>
      </w:r>
      <w:r w:rsidR="00690286" w:rsidRPr="00245614">
        <w:rPr>
          <w:b/>
          <w:i/>
        </w:rPr>
        <w:t>)</w:t>
      </w:r>
    </w:p>
    <w:p w:rsidR="00386BB1" w:rsidRPr="00B710C7" w:rsidRDefault="00386BB1" w:rsidP="00016C2F">
      <w:pPr>
        <w:pStyle w:val="Paragraphedeliste"/>
        <w:numPr>
          <w:ilvl w:val="0"/>
          <w:numId w:val="5"/>
        </w:numPr>
        <w:spacing w:line="240" w:lineRule="auto"/>
        <w:jc w:val="both"/>
        <w:rPr>
          <w:i/>
        </w:rPr>
      </w:pPr>
      <w:r>
        <w:t xml:space="preserve">Réalisation d’une étude par un ingénieur recruté </w:t>
      </w:r>
      <w:r w:rsidR="00690286">
        <w:t xml:space="preserve">spécifiquement pour la demande </w:t>
      </w:r>
      <w:r w:rsidR="00690286" w:rsidRPr="00245614">
        <w:rPr>
          <w:u w:val="single"/>
        </w:rPr>
        <w:t>à partir de</w:t>
      </w:r>
      <w:r w:rsidR="00690286">
        <w:t xml:space="preserve"> </w:t>
      </w:r>
      <w:r>
        <w:t>30.000</w:t>
      </w:r>
      <w:r w:rsidR="00690286">
        <w:t xml:space="preserve"> €</w:t>
      </w:r>
      <w:r>
        <w:t xml:space="preserve"> pour une durée de 4 mois minim</w:t>
      </w:r>
      <w:r w:rsidR="00B119AC">
        <w:t xml:space="preserve">um </w:t>
      </w:r>
      <w:r w:rsidR="00690286" w:rsidRPr="00245614">
        <w:rPr>
          <w:b/>
          <w:i/>
        </w:rPr>
        <w:t>(</w:t>
      </w:r>
      <w:r w:rsidR="00B119AC" w:rsidRPr="00245614">
        <w:rPr>
          <w:b/>
          <w:i/>
        </w:rPr>
        <w:t>soit 10.000</w:t>
      </w:r>
      <w:r w:rsidR="00690286" w:rsidRPr="00245614">
        <w:rPr>
          <w:b/>
          <w:i/>
        </w:rPr>
        <w:t xml:space="preserve"> €</w:t>
      </w:r>
      <w:r w:rsidR="00B119AC" w:rsidRPr="00245614">
        <w:rPr>
          <w:b/>
          <w:i/>
        </w:rPr>
        <w:t xml:space="preserve"> </w:t>
      </w:r>
      <w:r w:rsidR="00B710C7" w:rsidRPr="00245614">
        <w:rPr>
          <w:b/>
          <w:i/>
        </w:rPr>
        <w:t>après</w:t>
      </w:r>
      <w:r w:rsidR="00B119AC" w:rsidRPr="00245614">
        <w:rPr>
          <w:b/>
          <w:i/>
        </w:rPr>
        <w:t xml:space="preserve"> CIR)</w:t>
      </w:r>
    </w:p>
    <w:p w:rsidR="00386BB1" w:rsidRDefault="00386BB1" w:rsidP="00016C2F">
      <w:pPr>
        <w:pStyle w:val="Paragraphedeliste"/>
        <w:numPr>
          <w:ilvl w:val="0"/>
          <w:numId w:val="5"/>
        </w:numPr>
        <w:spacing w:line="240" w:lineRule="auto"/>
        <w:jc w:val="both"/>
      </w:pPr>
      <w:r>
        <w:t xml:space="preserve">thèse CIFRE </w:t>
      </w:r>
      <w:r w:rsidR="00016C2F" w:rsidRPr="00245614">
        <w:rPr>
          <w:b/>
          <w:i/>
        </w:rPr>
        <w:t>(</w:t>
      </w:r>
      <w:r w:rsidR="00016C2F" w:rsidRPr="00245614">
        <w:rPr>
          <w:b/>
          <w:i/>
          <w:u w:val="single"/>
        </w:rPr>
        <w:t>à</w:t>
      </w:r>
      <w:r w:rsidRPr="00245614">
        <w:rPr>
          <w:b/>
          <w:i/>
          <w:u w:val="single"/>
        </w:rPr>
        <w:t xml:space="preserve"> partir de</w:t>
      </w:r>
      <w:r w:rsidRPr="00245614">
        <w:rPr>
          <w:b/>
          <w:i/>
        </w:rPr>
        <w:t xml:space="preserve"> </w:t>
      </w:r>
      <w:r w:rsidR="00B119AC" w:rsidRPr="00245614">
        <w:rPr>
          <w:b/>
          <w:i/>
        </w:rPr>
        <w:t>54.000</w:t>
      </w:r>
      <w:r w:rsidR="00690286" w:rsidRPr="00245614">
        <w:rPr>
          <w:b/>
          <w:i/>
        </w:rPr>
        <w:t xml:space="preserve"> €</w:t>
      </w:r>
      <w:r w:rsidR="00B119AC" w:rsidRPr="00245614">
        <w:rPr>
          <w:b/>
          <w:i/>
        </w:rPr>
        <w:t xml:space="preserve"> pour 3 ans après montage du CIR)</w:t>
      </w:r>
    </w:p>
    <w:p w:rsidR="00B710C7" w:rsidRDefault="00386BB1" w:rsidP="00B710C7">
      <w:pPr>
        <w:pStyle w:val="Paragraphedeliste"/>
        <w:numPr>
          <w:ilvl w:val="0"/>
          <w:numId w:val="5"/>
        </w:numPr>
        <w:spacing w:line="240" w:lineRule="auto"/>
        <w:jc w:val="both"/>
      </w:pPr>
      <w:r>
        <w:t>projet Collaboratif avec consortium</w:t>
      </w:r>
    </w:p>
    <w:p w:rsidR="00016C2F" w:rsidRDefault="00B710C7" w:rsidP="00B710C7">
      <w:pPr>
        <w:spacing w:line="240" w:lineRule="auto"/>
        <w:jc w:val="both"/>
      </w:pPr>
      <w:r>
        <w:t>(</w:t>
      </w:r>
      <w:r w:rsidR="00245614">
        <w:t>Les</w:t>
      </w:r>
      <w:r>
        <w:t xml:space="preserve"> tarifs sont donnés à titre indicatif avec le cout </w:t>
      </w:r>
      <w:r w:rsidR="00245614">
        <w:t>pour l’</w:t>
      </w:r>
      <w:r>
        <w:t xml:space="preserve">entreprise après montage d’un </w:t>
      </w:r>
      <w:r w:rsidRPr="00B710C7">
        <w:t>Crédit Impôts Recherche</w:t>
      </w:r>
      <w:r>
        <w:t xml:space="preserve"> pour les projets éligibles.)</w:t>
      </w:r>
    </w:p>
    <w:p w:rsidR="007868E5" w:rsidRDefault="00783EC3" w:rsidP="00016C2F">
      <w:pPr>
        <w:jc w:val="both"/>
      </w:pPr>
      <w:r>
        <w:t xml:space="preserve">Par pragmatisme et stratégie, nous souhaitons limiter le nombre d’interventions de types caractérisation, métrologie pour ne réserver ces actions qu’à destination de partenaires privilégiés (partenaires de projets, entreprises accueillant un stagiaire, perspectives de projets de plus grande </w:t>
      </w:r>
      <w:r w:rsidR="00690286">
        <w:t>envergure</w:t>
      </w:r>
      <w:r>
        <w:t>,...)</w:t>
      </w:r>
      <w:r w:rsidR="00386BB1">
        <w:t>. Nous pourrions éventuellement discuter de la réalisation de ce type de prestation par une junior entreprise avec les responsables des laboratoires et équipements.</w:t>
      </w:r>
    </w:p>
    <w:p w:rsidR="007868E5" w:rsidRDefault="00255CC6" w:rsidP="00CA1F22">
      <w:pPr>
        <w:spacing w:line="240" w:lineRule="auto"/>
      </w:pPr>
      <w:bookmarkStart w:id="0" w:name="_GoBack"/>
      <w:r>
        <w:rPr>
          <w:noProof/>
          <w:lang w:eastAsia="fr-FR"/>
        </w:rPr>
        <w:lastRenderedPageBreak/>
        <w:drawing>
          <wp:anchor distT="0" distB="0" distL="114300" distR="114300" simplePos="0" relativeHeight="251660288" behindDoc="0" locked="0" layoutInCell="1" allowOverlap="1">
            <wp:simplePos x="903605" y="903605"/>
            <wp:positionH relativeFrom="margin">
              <wp:align>center</wp:align>
            </wp:positionH>
            <wp:positionV relativeFrom="margin">
              <wp:align>top</wp:align>
            </wp:positionV>
            <wp:extent cx="6925945" cy="903478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5945" cy="9034780"/>
                    </a:xfrm>
                    <a:prstGeom prst="rect">
                      <a:avLst/>
                    </a:prstGeom>
                    <a:noFill/>
                  </pic:spPr>
                </pic:pic>
              </a:graphicData>
            </a:graphic>
          </wp:anchor>
        </w:drawing>
      </w:r>
      <w:bookmarkEnd w:id="0"/>
    </w:p>
    <w:sectPr w:rsidR="007868E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28" w:rsidRDefault="00F04E28" w:rsidP="00D87C08">
      <w:pPr>
        <w:spacing w:after="0" w:line="240" w:lineRule="auto"/>
      </w:pPr>
      <w:r>
        <w:separator/>
      </w:r>
    </w:p>
  </w:endnote>
  <w:endnote w:type="continuationSeparator" w:id="0">
    <w:p w:rsidR="00F04E28" w:rsidRDefault="00F04E28" w:rsidP="00D8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5E" w:rsidRDefault="0074733F" w:rsidP="00013F5E">
    <w:pPr>
      <w:pStyle w:val="Pieddepage"/>
      <w:jc w:val="right"/>
    </w:pPr>
    <w:r>
      <w:t xml:space="preserve">Page </w:t>
    </w:r>
    <w:r>
      <w:fldChar w:fldCharType="begin"/>
    </w:r>
    <w:r>
      <w:instrText>PAGE   \* MERGEFORMAT</w:instrText>
    </w:r>
    <w:r>
      <w:fldChar w:fldCharType="separate"/>
    </w:r>
    <w:r w:rsidR="00255CC6">
      <w:rPr>
        <w:noProof/>
      </w:rPr>
      <w:t>2</w:t>
    </w:r>
    <w:r>
      <w:fldChar w:fldCharType="end"/>
    </w:r>
    <w:r>
      <w:t xml:space="preserve"> /</w:t>
    </w:r>
    <w:r w:rsidR="008E423A">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28" w:rsidRDefault="00F04E28" w:rsidP="00D87C08">
      <w:pPr>
        <w:spacing w:after="0" w:line="240" w:lineRule="auto"/>
      </w:pPr>
      <w:r>
        <w:separator/>
      </w:r>
    </w:p>
  </w:footnote>
  <w:footnote w:type="continuationSeparator" w:id="0">
    <w:p w:rsidR="00F04E28" w:rsidRDefault="00F04E28" w:rsidP="00D87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B0A8A"/>
    <w:multiLevelType w:val="hybridMultilevel"/>
    <w:tmpl w:val="E2F09F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91221A"/>
    <w:multiLevelType w:val="hybridMultilevel"/>
    <w:tmpl w:val="909407DC"/>
    <w:lvl w:ilvl="0" w:tplc="6FA8FF5A">
      <w:start w:val="1"/>
      <w:numFmt w:val="bullet"/>
      <w:lvlText w:val=""/>
      <w:lvlJc w:val="left"/>
      <w:pPr>
        <w:ind w:left="720" w:hanging="360"/>
      </w:pPr>
      <w:rPr>
        <w:rFonts w:ascii="Symbol" w:hAnsi="Symbol" w:hint="default"/>
        <w:color w:val="9BBB59"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C47EC8"/>
    <w:multiLevelType w:val="hybridMultilevel"/>
    <w:tmpl w:val="0510A834"/>
    <w:lvl w:ilvl="0" w:tplc="86A28C5E">
      <w:start w:val="1"/>
      <w:numFmt w:val="bullet"/>
      <w:lvlText w:val="∞"/>
      <w:lvlJc w:val="left"/>
      <w:pPr>
        <w:ind w:left="720" w:hanging="360"/>
      </w:pPr>
      <w:rPr>
        <w:rFonts w:ascii="Calibri" w:hAnsi="Calibri"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917043"/>
    <w:multiLevelType w:val="hybridMultilevel"/>
    <w:tmpl w:val="1996D3CC"/>
    <w:lvl w:ilvl="0" w:tplc="86A28C5E">
      <w:start w:val="1"/>
      <w:numFmt w:val="bullet"/>
      <w:lvlText w:val="∞"/>
      <w:lvlJc w:val="left"/>
      <w:pPr>
        <w:ind w:left="1428" w:hanging="360"/>
      </w:pPr>
      <w:rPr>
        <w:rFonts w:ascii="Calibri" w:hAnsi="Calibri" w:hint="default"/>
        <w:color w:val="4F81BD" w:themeColor="accent1"/>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59747C32"/>
    <w:multiLevelType w:val="hybridMultilevel"/>
    <w:tmpl w:val="EB5A95C6"/>
    <w:lvl w:ilvl="0" w:tplc="6FA8FF5A">
      <w:start w:val="1"/>
      <w:numFmt w:val="bullet"/>
      <w:lvlText w:val=""/>
      <w:lvlJc w:val="left"/>
      <w:pPr>
        <w:ind w:left="720" w:hanging="360"/>
      </w:pPr>
      <w:rPr>
        <w:rFonts w:ascii="Symbol" w:hAnsi="Symbol" w:hint="default"/>
        <w:color w:val="9BBB59"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3F"/>
    <w:rsid w:val="00016C2F"/>
    <w:rsid w:val="000173DE"/>
    <w:rsid w:val="00032AAF"/>
    <w:rsid w:val="001A5F72"/>
    <w:rsid w:val="00245614"/>
    <w:rsid w:val="00255CC6"/>
    <w:rsid w:val="002E10A1"/>
    <w:rsid w:val="00386BB1"/>
    <w:rsid w:val="003D467C"/>
    <w:rsid w:val="003E5ECD"/>
    <w:rsid w:val="005E5FBD"/>
    <w:rsid w:val="00690286"/>
    <w:rsid w:val="006F6AFD"/>
    <w:rsid w:val="007237D6"/>
    <w:rsid w:val="0074733F"/>
    <w:rsid w:val="0077451B"/>
    <w:rsid w:val="00783EC3"/>
    <w:rsid w:val="007868E5"/>
    <w:rsid w:val="00815457"/>
    <w:rsid w:val="008157DB"/>
    <w:rsid w:val="008C5D2B"/>
    <w:rsid w:val="008E423A"/>
    <w:rsid w:val="00972BCE"/>
    <w:rsid w:val="009C7629"/>
    <w:rsid w:val="00AC23DB"/>
    <w:rsid w:val="00AE13F3"/>
    <w:rsid w:val="00AF52F9"/>
    <w:rsid w:val="00B119AC"/>
    <w:rsid w:val="00B25895"/>
    <w:rsid w:val="00B710C7"/>
    <w:rsid w:val="00BD453F"/>
    <w:rsid w:val="00CA1F22"/>
    <w:rsid w:val="00CA3BED"/>
    <w:rsid w:val="00D87C08"/>
    <w:rsid w:val="00DF522C"/>
    <w:rsid w:val="00E50927"/>
    <w:rsid w:val="00F04E28"/>
    <w:rsid w:val="00F1047E"/>
    <w:rsid w:val="00FA1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22C"/>
    <w:pPr>
      <w:ind w:left="720"/>
      <w:contextualSpacing/>
    </w:pPr>
  </w:style>
  <w:style w:type="paragraph" w:styleId="Textedebulles">
    <w:name w:val="Balloon Text"/>
    <w:basedOn w:val="Normal"/>
    <w:link w:val="TextedebullesCar"/>
    <w:uiPriority w:val="99"/>
    <w:semiHidden/>
    <w:unhideWhenUsed/>
    <w:rsid w:val="008157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57DB"/>
    <w:rPr>
      <w:rFonts w:ascii="Tahoma" w:hAnsi="Tahoma" w:cs="Tahoma"/>
      <w:sz w:val="16"/>
      <w:szCs w:val="16"/>
    </w:rPr>
  </w:style>
  <w:style w:type="paragraph" w:styleId="Pieddepage">
    <w:name w:val="footer"/>
    <w:basedOn w:val="Normal"/>
    <w:link w:val="PieddepageCar"/>
    <w:uiPriority w:val="99"/>
    <w:unhideWhenUsed/>
    <w:rsid w:val="007868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68E5"/>
  </w:style>
  <w:style w:type="table" w:styleId="Grilledutableau">
    <w:name w:val="Table Grid"/>
    <w:basedOn w:val="TableauNormal"/>
    <w:uiPriority w:val="59"/>
    <w:rsid w:val="0078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0173D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3">
    <w:name w:val="Light Grid Accent 3"/>
    <w:basedOn w:val="TableauNormal"/>
    <w:uiPriority w:val="62"/>
    <w:rsid w:val="000173D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tte">
    <w:name w:val="header"/>
    <w:basedOn w:val="Normal"/>
    <w:link w:val="En-tteCar"/>
    <w:uiPriority w:val="99"/>
    <w:unhideWhenUsed/>
    <w:rsid w:val="00D87C08"/>
    <w:pPr>
      <w:tabs>
        <w:tab w:val="center" w:pos="4536"/>
        <w:tab w:val="right" w:pos="9072"/>
      </w:tabs>
      <w:spacing w:after="0" w:line="240" w:lineRule="auto"/>
    </w:pPr>
  </w:style>
  <w:style w:type="character" w:customStyle="1" w:styleId="En-tteCar">
    <w:name w:val="En-tête Car"/>
    <w:basedOn w:val="Policepardfaut"/>
    <w:link w:val="En-tte"/>
    <w:uiPriority w:val="99"/>
    <w:rsid w:val="00D87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22C"/>
    <w:pPr>
      <w:ind w:left="720"/>
      <w:contextualSpacing/>
    </w:pPr>
  </w:style>
  <w:style w:type="paragraph" w:styleId="Textedebulles">
    <w:name w:val="Balloon Text"/>
    <w:basedOn w:val="Normal"/>
    <w:link w:val="TextedebullesCar"/>
    <w:uiPriority w:val="99"/>
    <w:semiHidden/>
    <w:unhideWhenUsed/>
    <w:rsid w:val="008157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57DB"/>
    <w:rPr>
      <w:rFonts w:ascii="Tahoma" w:hAnsi="Tahoma" w:cs="Tahoma"/>
      <w:sz w:val="16"/>
      <w:szCs w:val="16"/>
    </w:rPr>
  </w:style>
  <w:style w:type="paragraph" w:styleId="Pieddepage">
    <w:name w:val="footer"/>
    <w:basedOn w:val="Normal"/>
    <w:link w:val="PieddepageCar"/>
    <w:uiPriority w:val="99"/>
    <w:unhideWhenUsed/>
    <w:rsid w:val="007868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68E5"/>
  </w:style>
  <w:style w:type="table" w:styleId="Grilledutableau">
    <w:name w:val="Table Grid"/>
    <w:basedOn w:val="TableauNormal"/>
    <w:uiPriority w:val="59"/>
    <w:rsid w:val="00786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rsid w:val="000173D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3">
    <w:name w:val="Light Grid Accent 3"/>
    <w:basedOn w:val="TableauNormal"/>
    <w:uiPriority w:val="62"/>
    <w:rsid w:val="000173D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tte">
    <w:name w:val="header"/>
    <w:basedOn w:val="Normal"/>
    <w:link w:val="En-tteCar"/>
    <w:uiPriority w:val="99"/>
    <w:unhideWhenUsed/>
    <w:rsid w:val="00D87C08"/>
    <w:pPr>
      <w:tabs>
        <w:tab w:val="center" w:pos="4536"/>
        <w:tab w:val="right" w:pos="9072"/>
      </w:tabs>
      <w:spacing w:after="0" w:line="240" w:lineRule="auto"/>
    </w:pPr>
  </w:style>
  <w:style w:type="character" w:customStyle="1" w:styleId="En-tteCar">
    <w:name w:val="En-tête Car"/>
    <w:basedOn w:val="Policepardfaut"/>
    <w:link w:val="En-tte"/>
    <w:uiPriority w:val="99"/>
    <w:rsid w:val="00D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F74D-EBA0-4025-B7A3-96FC0D9D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Leprêtre</dc:creator>
  <cp:lastModifiedBy>Stéphane Leprêtre</cp:lastModifiedBy>
  <cp:revision>3</cp:revision>
  <dcterms:created xsi:type="dcterms:W3CDTF">2018-09-25T10:14:00Z</dcterms:created>
  <dcterms:modified xsi:type="dcterms:W3CDTF">2018-09-25T13:19:00Z</dcterms:modified>
</cp:coreProperties>
</file>